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0A2" w:rsidRPr="009E70A2" w:rsidRDefault="00FE5372" w:rsidP="009E70A2">
      <w:pPr>
        <w:pStyle w:val="20"/>
        <w:shd w:val="clear" w:color="auto" w:fill="auto"/>
        <w:spacing w:line="240" w:lineRule="auto"/>
        <w:jc w:val="center"/>
        <w:rPr>
          <w:lang w:val="uk-UA"/>
        </w:rPr>
      </w:pPr>
      <w:r w:rsidRPr="009E70A2">
        <w:t xml:space="preserve">ПЛАН ЗАХОДІВ </w:t>
      </w:r>
    </w:p>
    <w:p w:rsidR="00E03915" w:rsidRPr="009E70A2" w:rsidRDefault="009E70A2" w:rsidP="009E70A2">
      <w:pPr>
        <w:pStyle w:val="20"/>
        <w:shd w:val="clear" w:color="auto" w:fill="auto"/>
        <w:spacing w:line="240" w:lineRule="auto"/>
        <w:jc w:val="center"/>
      </w:pPr>
      <w:r w:rsidRPr="009E70A2">
        <w:rPr>
          <w:lang w:val="ru-RU"/>
        </w:rPr>
        <w:t>з</w:t>
      </w:r>
      <w:r w:rsidR="00FE5372" w:rsidRPr="009E70A2">
        <w:rPr>
          <w:lang w:val="ru-RU"/>
        </w:rPr>
        <w:t xml:space="preserve"> </w:t>
      </w:r>
      <w:r w:rsidR="00FE5372" w:rsidRPr="009E70A2">
        <w:t xml:space="preserve">реалізації Національного плану дій з виконання </w:t>
      </w:r>
      <w:proofErr w:type="gramStart"/>
      <w:r w:rsidR="00FE5372" w:rsidRPr="009E70A2">
        <w:t>резолюції</w:t>
      </w:r>
      <w:proofErr w:type="gramEnd"/>
      <w:r w:rsidR="00FE5372" w:rsidRPr="009E70A2">
        <w:t xml:space="preserve"> Ради Безпеки </w:t>
      </w:r>
      <w:r w:rsidR="00FE5372" w:rsidRPr="009E70A2">
        <w:rPr>
          <w:lang w:val="ru"/>
        </w:rPr>
        <w:t>ООН 1325</w:t>
      </w:r>
    </w:p>
    <w:p w:rsidR="00E03915" w:rsidRPr="009E70A2" w:rsidRDefault="00FE5372" w:rsidP="009E70A2">
      <w:pPr>
        <w:pStyle w:val="20"/>
        <w:shd w:val="clear" w:color="auto" w:fill="auto"/>
        <w:spacing w:line="240" w:lineRule="auto"/>
        <w:jc w:val="center"/>
      </w:pPr>
      <w:r w:rsidRPr="009E70A2">
        <w:t xml:space="preserve">«Жінки, мир, безпека» на період до </w:t>
      </w:r>
      <w:r w:rsidRPr="009E70A2">
        <w:rPr>
          <w:lang w:val="ru"/>
        </w:rPr>
        <w:t xml:space="preserve">2025 </w:t>
      </w:r>
      <w:r w:rsidRPr="009E70A2">
        <w:t>року</w:t>
      </w:r>
    </w:p>
    <w:p w:rsidR="00E03915" w:rsidRDefault="00FE5372" w:rsidP="00B36ABD">
      <w:pPr>
        <w:pStyle w:val="20"/>
        <w:shd w:val="clear" w:color="auto" w:fill="auto"/>
        <w:spacing w:line="240" w:lineRule="auto"/>
        <w:jc w:val="center"/>
        <w:rPr>
          <w:lang w:val="uk-UA"/>
        </w:rPr>
      </w:pPr>
      <w:r w:rsidRPr="009E70A2">
        <w:t>(нова редакція)</w:t>
      </w:r>
    </w:p>
    <w:p w:rsidR="00431EAF" w:rsidRDefault="00077BEF" w:rsidP="00B36ABD">
      <w:pPr>
        <w:pStyle w:val="20"/>
        <w:shd w:val="clear" w:color="auto" w:fill="auto"/>
        <w:spacing w:line="240" w:lineRule="auto"/>
        <w:jc w:val="center"/>
        <w:rPr>
          <w:lang w:val="uk-UA"/>
        </w:rPr>
      </w:pPr>
      <w:r>
        <w:rPr>
          <w:lang w:val="uk-UA"/>
        </w:rPr>
        <w:t>п</w:t>
      </w:r>
      <w:r w:rsidR="003D5549">
        <w:rPr>
          <w:lang w:val="uk-UA"/>
        </w:rPr>
        <w:t xml:space="preserve">о КНП «Міська поліклініка №3»ХМР </w:t>
      </w:r>
    </w:p>
    <w:tbl>
      <w:tblPr>
        <w:tblStyle w:val="a7"/>
        <w:tblW w:w="0" w:type="auto"/>
        <w:tblInd w:w="534" w:type="dxa"/>
        <w:tblLook w:val="04A0" w:firstRow="1" w:lastRow="0" w:firstColumn="1" w:lastColumn="0" w:noHBand="0" w:noVBand="1"/>
      </w:tblPr>
      <w:tblGrid>
        <w:gridCol w:w="4110"/>
        <w:gridCol w:w="5350"/>
        <w:gridCol w:w="4717"/>
      </w:tblGrid>
      <w:tr w:rsidR="00431EAF" w:rsidTr="00FE5372">
        <w:tc>
          <w:tcPr>
            <w:tcW w:w="4110" w:type="dxa"/>
          </w:tcPr>
          <w:p w:rsidR="00431EAF" w:rsidRPr="009E70A2" w:rsidRDefault="00431EAF" w:rsidP="00431EAF">
            <w:pPr>
              <w:pStyle w:val="20"/>
              <w:shd w:val="clear" w:color="auto" w:fill="auto"/>
              <w:spacing w:line="240" w:lineRule="auto"/>
              <w:jc w:val="center"/>
            </w:pPr>
            <w:r w:rsidRPr="009E70A2">
              <w:t>Найменування завдання</w:t>
            </w:r>
          </w:p>
        </w:tc>
        <w:tc>
          <w:tcPr>
            <w:tcW w:w="5350" w:type="dxa"/>
          </w:tcPr>
          <w:p w:rsidR="00431EAF" w:rsidRPr="009E70A2" w:rsidRDefault="00431EAF" w:rsidP="00431EAF">
            <w:pPr>
              <w:pStyle w:val="20"/>
              <w:shd w:val="clear" w:color="auto" w:fill="auto"/>
              <w:spacing w:line="240" w:lineRule="auto"/>
              <w:jc w:val="center"/>
            </w:pPr>
            <w:r w:rsidRPr="009E70A2">
              <w:t>Найменування заходу</w:t>
            </w:r>
          </w:p>
        </w:tc>
        <w:tc>
          <w:tcPr>
            <w:tcW w:w="4717" w:type="dxa"/>
          </w:tcPr>
          <w:p w:rsidR="00431EAF" w:rsidRDefault="00431EAF" w:rsidP="00431EAF">
            <w:pPr>
              <w:pStyle w:val="20"/>
              <w:shd w:val="clear" w:color="auto" w:fill="auto"/>
              <w:spacing w:line="240" w:lineRule="auto"/>
              <w:jc w:val="center"/>
              <w:rPr>
                <w:lang w:val="uk-UA"/>
              </w:rPr>
            </w:pPr>
            <w:r>
              <w:rPr>
                <w:lang w:val="uk-UA"/>
              </w:rPr>
              <w:t>Виконання</w:t>
            </w:r>
            <w:r w:rsidRPr="009E70A2">
              <w:t xml:space="preserve"> заходу</w:t>
            </w:r>
          </w:p>
        </w:tc>
      </w:tr>
      <w:tr w:rsidR="00431EAF" w:rsidTr="00FE5372">
        <w:tc>
          <w:tcPr>
            <w:tcW w:w="14177" w:type="dxa"/>
            <w:gridSpan w:val="3"/>
          </w:tcPr>
          <w:p w:rsidR="00431EAF" w:rsidRDefault="00431EAF" w:rsidP="00431EAF">
            <w:pPr>
              <w:pStyle w:val="20"/>
              <w:shd w:val="clear" w:color="auto" w:fill="auto"/>
              <w:spacing w:line="240" w:lineRule="auto"/>
              <w:jc w:val="center"/>
              <w:rPr>
                <w:lang w:val="uk-UA"/>
              </w:rPr>
            </w:pPr>
            <w:r>
              <w:rPr>
                <w:lang w:val="uk-UA"/>
              </w:rPr>
              <w:t>Оперативна ціль 2.2. Забезпечення спроможності населення України, зокрема жінок та дівчат, виявляти безпекові виклики, запобігати таким викликам, реагувати на них відповідно до наявних інструкцій, законодавства, рівня безпекових викликів та власних потреб</w:t>
            </w:r>
          </w:p>
        </w:tc>
      </w:tr>
      <w:tr w:rsidR="00431EAF" w:rsidTr="00FE5372">
        <w:tc>
          <w:tcPr>
            <w:tcW w:w="4110" w:type="dxa"/>
          </w:tcPr>
          <w:p w:rsidR="00431EAF" w:rsidRPr="00431EAF" w:rsidRDefault="00431EAF" w:rsidP="00431EAF">
            <w:pPr>
              <w:pStyle w:val="20"/>
              <w:shd w:val="clear" w:color="auto" w:fill="auto"/>
              <w:spacing w:line="240" w:lineRule="auto"/>
              <w:rPr>
                <w:b w:val="0"/>
                <w:lang w:val="uk-UA"/>
              </w:rPr>
            </w:pPr>
            <w:r w:rsidRPr="00431EAF">
              <w:rPr>
                <w:b w:val="0"/>
                <w:lang w:val="uk-UA"/>
              </w:rPr>
              <w:t>9. Формування навичок у різних груп населення з виявлення безпекових викликів, запобігання таким викликам, реагування на них</w:t>
            </w:r>
          </w:p>
        </w:tc>
        <w:tc>
          <w:tcPr>
            <w:tcW w:w="5350" w:type="dxa"/>
          </w:tcPr>
          <w:p w:rsidR="00431EAF" w:rsidRPr="00431EAF" w:rsidRDefault="00431EAF" w:rsidP="00431EAF">
            <w:pPr>
              <w:pStyle w:val="20"/>
              <w:shd w:val="clear" w:color="auto" w:fill="auto"/>
              <w:spacing w:line="240" w:lineRule="auto"/>
              <w:rPr>
                <w:b w:val="0"/>
                <w:lang w:val="uk-UA"/>
              </w:rPr>
            </w:pPr>
            <w:r w:rsidRPr="00431EAF">
              <w:rPr>
                <w:b w:val="0"/>
                <w:lang w:val="uk-UA"/>
              </w:rPr>
              <w:t>3) розроблення, затвердження та впровадження планів інформування про дії із запобігання надзвичайним ситуаціям та реагування на них, бойові дії, цифрову та інформаційну небезпеку з урахуванням особливостей та потреб різних категорій населення, зокрема жінок та дівчат різного віку, з інвалідністю, які проживають у міській/сільській місцевості</w:t>
            </w:r>
          </w:p>
        </w:tc>
        <w:tc>
          <w:tcPr>
            <w:tcW w:w="4717" w:type="dxa"/>
          </w:tcPr>
          <w:p w:rsidR="00431EAF" w:rsidRDefault="003D5549" w:rsidP="00431EAF">
            <w:pPr>
              <w:pStyle w:val="20"/>
              <w:shd w:val="clear" w:color="auto" w:fill="auto"/>
              <w:spacing w:line="240" w:lineRule="auto"/>
              <w:rPr>
                <w:lang w:val="uk-UA"/>
              </w:rPr>
            </w:pPr>
            <w:r w:rsidRPr="003D5549">
              <w:rPr>
                <w:b w:val="0"/>
                <w:bCs w:val="0"/>
                <w:lang w:val="uk-UA"/>
              </w:rPr>
              <w:t xml:space="preserve">В закладі та </w:t>
            </w:r>
            <w:r w:rsidR="00B9316A">
              <w:rPr>
                <w:b w:val="0"/>
                <w:bCs w:val="0"/>
                <w:lang w:val="uk-UA"/>
              </w:rPr>
              <w:t xml:space="preserve">на </w:t>
            </w:r>
            <w:r w:rsidRPr="003D5549">
              <w:rPr>
                <w:b w:val="0"/>
                <w:bCs w:val="0"/>
                <w:lang w:val="uk-UA"/>
              </w:rPr>
              <w:t xml:space="preserve">сайті поліклініки впроваджуються </w:t>
            </w:r>
            <w:r w:rsidR="00B9316A">
              <w:rPr>
                <w:b w:val="0"/>
                <w:bCs w:val="0"/>
                <w:lang w:val="uk-UA"/>
              </w:rPr>
              <w:t>інформація</w:t>
            </w:r>
            <w:r>
              <w:rPr>
                <w:lang w:val="uk-UA"/>
              </w:rPr>
              <w:t xml:space="preserve"> </w:t>
            </w:r>
            <w:r w:rsidRPr="00431EAF">
              <w:rPr>
                <w:b w:val="0"/>
                <w:lang w:val="uk-UA"/>
              </w:rPr>
              <w:t>про запобігання надзвичайним ситуаціям та реагування на них, бойові дії, цифрову та інформаційну небезпеку з урахуванням особливостей та потреб різних категорій населення, зокрема жінок та дівчат різного віку, з інвалідністю, які проживають у міській/сільській місцевості</w:t>
            </w:r>
            <w:r>
              <w:rPr>
                <w:b w:val="0"/>
                <w:lang w:val="uk-UA"/>
              </w:rPr>
              <w:t>.</w:t>
            </w:r>
            <w:r>
              <w:rPr>
                <w:lang w:val="uk-UA"/>
              </w:rPr>
              <w:t xml:space="preserve"> </w:t>
            </w:r>
          </w:p>
        </w:tc>
      </w:tr>
      <w:tr w:rsidR="00431EAF" w:rsidTr="00FE5372">
        <w:tc>
          <w:tcPr>
            <w:tcW w:w="14177" w:type="dxa"/>
            <w:gridSpan w:val="3"/>
          </w:tcPr>
          <w:p w:rsidR="00431EAF" w:rsidRDefault="00431EAF" w:rsidP="00431EAF">
            <w:pPr>
              <w:pStyle w:val="20"/>
              <w:shd w:val="clear" w:color="auto" w:fill="auto"/>
              <w:spacing w:line="240" w:lineRule="auto"/>
              <w:jc w:val="center"/>
              <w:rPr>
                <w:lang w:val="uk-UA"/>
              </w:rPr>
            </w:pPr>
            <w:r w:rsidRPr="00431EAF">
              <w:rPr>
                <w:lang w:val="uk-UA"/>
              </w:rPr>
              <w:t>Оперативна ціль 3.2. Визначення специфічних погреб осіб, які постраждали від конфлікту, зокрема жінок, з урахуванням тендерних підходів під час надання адміністративних, медичних та соціальних послуг</w:t>
            </w:r>
          </w:p>
        </w:tc>
      </w:tr>
      <w:tr w:rsidR="00431EAF" w:rsidTr="00FE5372">
        <w:tc>
          <w:tcPr>
            <w:tcW w:w="4110" w:type="dxa"/>
          </w:tcPr>
          <w:p w:rsidR="00431EAF" w:rsidRPr="00E20BF0" w:rsidRDefault="00431EAF" w:rsidP="00E20BF0">
            <w:pPr>
              <w:pStyle w:val="20"/>
              <w:shd w:val="clear" w:color="auto" w:fill="auto"/>
              <w:spacing w:line="240" w:lineRule="auto"/>
              <w:rPr>
                <w:b w:val="0"/>
                <w:lang w:val="uk-UA"/>
              </w:rPr>
            </w:pPr>
            <w:r w:rsidRPr="00E20BF0">
              <w:rPr>
                <w:b w:val="0"/>
                <w:lang w:val="uk-UA"/>
              </w:rPr>
              <w:t xml:space="preserve">16. Забезпечення проведення на постійній основі оцінювання, </w:t>
            </w:r>
            <w:r w:rsidRPr="00E20BF0">
              <w:rPr>
                <w:b w:val="0"/>
              </w:rPr>
              <w:t>аналізу потреб та доступності адміністративних, медичних та соціальних послуг, надання правової допомоги різними групам жінок і чоловіків, які постраждали від конфлікту</w:t>
            </w:r>
          </w:p>
        </w:tc>
        <w:tc>
          <w:tcPr>
            <w:tcW w:w="5350" w:type="dxa"/>
          </w:tcPr>
          <w:p w:rsidR="00431EAF" w:rsidRPr="00E20BF0" w:rsidRDefault="00E20BF0" w:rsidP="00E20BF0">
            <w:pPr>
              <w:pStyle w:val="20"/>
              <w:shd w:val="clear" w:color="auto" w:fill="auto"/>
              <w:spacing w:line="240" w:lineRule="auto"/>
              <w:rPr>
                <w:b w:val="0"/>
                <w:lang w:val="uk-UA"/>
              </w:rPr>
            </w:pPr>
            <w:r w:rsidRPr="00E20BF0">
              <w:rPr>
                <w:b w:val="0"/>
                <w:lang w:val="uk-UA"/>
              </w:rPr>
              <w:t xml:space="preserve">1) проведення навчань для фахівців, які надають адміністративні, медичні та соціальні послуги, </w:t>
            </w:r>
            <w:r w:rsidRPr="00E20BF0">
              <w:rPr>
                <w:b w:val="0"/>
              </w:rPr>
              <w:t>правову допомогу щодо застосування</w:t>
            </w:r>
            <w:r w:rsidRPr="00E20BF0">
              <w:rPr>
                <w:b w:val="0"/>
                <w:lang w:val="uk-UA"/>
              </w:rPr>
              <w:t xml:space="preserve"> г</w:t>
            </w:r>
            <w:proofErr w:type="spellStart"/>
            <w:r w:rsidRPr="00E20BF0">
              <w:rPr>
                <w:b w:val="0"/>
              </w:rPr>
              <w:t>ендерного</w:t>
            </w:r>
            <w:proofErr w:type="spellEnd"/>
            <w:r w:rsidRPr="00E20BF0">
              <w:rPr>
                <w:b w:val="0"/>
              </w:rPr>
              <w:t xml:space="preserve"> підходу під час надання послуг, формування навичок неконфліктного спілкування</w:t>
            </w:r>
          </w:p>
        </w:tc>
        <w:tc>
          <w:tcPr>
            <w:tcW w:w="4717" w:type="dxa"/>
          </w:tcPr>
          <w:p w:rsidR="00B9316A" w:rsidRDefault="00B9316A" w:rsidP="00431EAF">
            <w:pPr>
              <w:pStyle w:val="20"/>
              <w:shd w:val="clear" w:color="auto" w:fill="auto"/>
              <w:spacing w:line="240" w:lineRule="auto"/>
              <w:rPr>
                <w:b w:val="0"/>
                <w:bCs w:val="0"/>
                <w:lang w:val="uk-UA"/>
              </w:rPr>
            </w:pPr>
            <w:r>
              <w:rPr>
                <w:b w:val="0"/>
                <w:bCs w:val="0"/>
                <w:lang w:val="uk-UA"/>
              </w:rPr>
              <w:t xml:space="preserve">Медичні працівники </w:t>
            </w:r>
            <w:r w:rsidR="003D5549" w:rsidRPr="003D5549">
              <w:rPr>
                <w:b w:val="0"/>
                <w:bCs w:val="0"/>
                <w:lang w:val="uk-UA"/>
              </w:rPr>
              <w:t xml:space="preserve">поліклініки </w:t>
            </w:r>
            <w:r w:rsidR="003D5549">
              <w:rPr>
                <w:b w:val="0"/>
                <w:bCs w:val="0"/>
                <w:lang w:val="uk-UA"/>
              </w:rPr>
              <w:t xml:space="preserve">проходять курси та тренінги </w:t>
            </w:r>
            <w:r>
              <w:rPr>
                <w:b w:val="0"/>
                <w:bCs w:val="0"/>
                <w:lang w:val="uk-UA"/>
              </w:rPr>
              <w:t>з наступних тем:</w:t>
            </w:r>
          </w:p>
          <w:p w:rsidR="00B9316A" w:rsidRDefault="00B9316A" w:rsidP="00431EAF">
            <w:pPr>
              <w:pStyle w:val="20"/>
              <w:shd w:val="clear" w:color="auto" w:fill="auto"/>
              <w:spacing w:line="240" w:lineRule="auto"/>
              <w:rPr>
                <w:b w:val="0"/>
                <w:bCs w:val="0"/>
                <w:lang w:val="uk-UA"/>
              </w:rPr>
            </w:pPr>
            <w:r>
              <w:rPr>
                <w:b w:val="0"/>
                <w:bCs w:val="0"/>
                <w:lang w:val="uk-UA"/>
              </w:rPr>
              <w:t>-</w:t>
            </w:r>
            <w:r w:rsidR="003D5549">
              <w:rPr>
                <w:b w:val="0"/>
                <w:bCs w:val="0"/>
                <w:lang w:val="uk-UA"/>
              </w:rPr>
              <w:t xml:space="preserve"> </w:t>
            </w:r>
            <w:r>
              <w:rPr>
                <w:b w:val="0"/>
                <w:bCs w:val="0"/>
                <w:lang w:val="uk-UA"/>
              </w:rPr>
              <w:t>П</w:t>
            </w:r>
            <w:r w:rsidR="003D5549">
              <w:rPr>
                <w:b w:val="0"/>
                <w:bCs w:val="0"/>
                <w:lang w:val="uk-UA"/>
              </w:rPr>
              <w:t>ідтримк</w:t>
            </w:r>
            <w:r>
              <w:rPr>
                <w:b w:val="0"/>
                <w:bCs w:val="0"/>
                <w:lang w:val="uk-UA"/>
              </w:rPr>
              <w:t>а</w:t>
            </w:r>
            <w:r w:rsidR="003D5549">
              <w:rPr>
                <w:b w:val="0"/>
                <w:bCs w:val="0"/>
                <w:lang w:val="uk-UA"/>
              </w:rPr>
              <w:t xml:space="preserve"> психічного здоров’я пацієнтів в часи надзвичайних станів</w:t>
            </w:r>
            <w:r>
              <w:rPr>
                <w:b w:val="0"/>
                <w:bCs w:val="0"/>
                <w:lang w:val="uk-UA"/>
              </w:rPr>
              <w:t>;</w:t>
            </w:r>
          </w:p>
          <w:p w:rsidR="00C81714" w:rsidRDefault="003D5549" w:rsidP="00431EAF">
            <w:pPr>
              <w:pStyle w:val="20"/>
              <w:shd w:val="clear" w:color="auto" w:fill="auto"/>
              <w:spacing w:line="240" w:lineRule="auto"/>
              <w:rPr>
                <w:b w:val="0"/>
                <w:bCs w:val="0"/>
                <w:lang w:val="uk-UA"/>
              </w:rPr>
            </w:pPr>
            <w:r>
              <w:rPr>
                <w:b w:val="0"/>
                <w:bCs w:val="0"/>
                <w:lang w:val="uk-UA"/>
              </w:rPr>
              <w:t xml:space="preserve"> </w:t>
            </w:r>
            <w:r w:rsidR="00B9316A">
              <w:rPr>
                <w:b w:val="0"/>
                <w:bCs w:val="0"/>
                <w:lang w:val="uk-UA"/>
              </w:rPr>
              <w:t>-</w:t>
            </w:r>
            <w:r w:rsidR="00C81714">
              <w:rPr>
                <w:b w:val="0"/>
                <w:bCs w:val="0"/>
                <w:lang w:val="uk-UA"/>
              </w:rPr>
              <w:t xml:space="preserve">Тренінг з розбудови </w:t>
            </w:r>
            <w:r>
              <w:rPr>
                <w:b w:val="0"/>
                <w:bCs w:val="0"/>
                <w:lang w:val="uk-UA"/>
              </w:rPr>
              <w:t xml:space="preserve"> спроможності працівників закладів ПМД у наданні послуг особам, що постраждали від </w:t>
            </w:r>
            <w:proofErr w:type="spellStart"/>
            <w:r>
              <w:rPr>
                <w:b w:val="0"/>
                <w:bCs w:val="0"/>
                <w:lang w:val="uk-UA"/>
              </w:rPr>
              <w:t>гендерно</w:t>
            </w:r>
            <w:proofErr w:type="spellEnd"/>
            <w:r>
              <w:rPr>
                <w:b w:val="0"/>
                <w:bCs w:val="0"/>
                <w:lang w:val="uk-UA"/>
              </w:rPr>
              <w:t>-зумовленого насильства</w:t>
            </w:r>
            <w:r w:rsidR="00C81714">
              <w:rPr>
                <w:b w:val="0"/>
                <w:bCs w:val="0"/>
                <w:lang w:val="uk-UA"/>
              </w:rPr>
              <w:t>;</w:t>
            </w:r>
            <w:r w:rsidR="001330D4">
              <w:rPr>
                <w:b w:val="0"/>
                <w:bCs w:val="0"/>
                <w:lang w:val="uk-UA"/>
              </w:rPr>
              <w:t xml:space="preserve"> </w:t>
            </w:r>
          </w:p>
          <w:p w:rsidR="001330D4" w:rsidRDefault="00C81714" w:rsidP="00431EAF">
            <w:pPr>
              <w:pStyle w:val="20"/>
              <w:shd w:val="clear" w:color="auto" w:fill="auto"/>
              <w:spacing w:line="240" w:lineRule="auto"/>
              <w:rPr>
                <w:b w:val="0"/>
                <w:bCs w:val="0"/>
                <w:lang w:val="uk-UA"/>
              </w:rPr>
            </w:pPr>
            <w:r>
              <w:rPr>
                <w:b w:val="0"/>
                <w:bCs w:val="0"/>
                <w:lang w:val="uk-UA"/>
              </w:rPr>
              <w:t>- Н</w:t>
            </w:r>
            <w:r w:rsidR="001330D4">
              <w:rPr>
                <w:b w:val="0"/>
                <w:bCs w:val="0"/>
                <w:lang w:val="uk-UA"/>
              </w:rPr>
              <w:t xml:space="preserve">авчання з ведення поширених психічних розладів на первинному рівні медичної допомоги із використанням керівництва </w:t>
            </w:r>
            <w:proofErr w:type="spellStart"/>
            <w:r w:rsidR="001330D4">
              <w:rPr>
                <w:b w:val="0"/>
                <w:bCs w:val="0"/>
                <w:lang w:val="en-US"/>
              </w:rPr>
              <w:t>mhGAP</w:t>
            </w:r>
            <w:proofErr w:type="spellEnd"/>
            <w:r w:rsidR="001330D4">
              <w:rPr>
                <w:b w:val="0"/>
                <w:bCs w:val="0"/>
                <w:lang w:val="uk-UA"/>
              </w:rPr>
              <w:t xml:space="preserve">. </w:t>
            </w:r>
          </w:p>
          <w:p w:rsidR="00431EAF" w:rsidRDefault="003D5549" w:rsidP="00431EAF">
            <w:pPr>
              <w:pStyle w:val="20"/>
              <w:shd w:val="clear" w:color="auto" w:fill="auto"/>
              <w:spacing w:line="240" w:lineRule="auto"/>
              <w:rPr>
                <w:b w:val="0"/>
                <w:bCs w:val="0"/>
                <w:lang w:val="uk-UA"/>
              </w:rPr>
            </w:pPr>
            <w:r>
              <w:rPr>
                <w:b w:val="0"/>
                <w:bCs w:val="0"/>
                <w:lang w:val="uk-UA"/>
              </w:rPr>
              <w:t xml:space="preserve"> </w:t>
            </w:r>
          </w:p>
          <w:p w:rsidR="001330D4" w:rsidRPr="003D5549" w:rsidRDefault="001330D4" w:rsidP="00431EAF">
            <w:pPr>
              <w:pStyle w:val="20"/>
              <w:shd w:val="clear" w:color="auto" w:fill="auto"/>
              <w:spacing w:line="240" w:lineRule="auto"/>
              <w:rPr>
                <w:b w:val="0"/>
                <w:bCs w:val="0"/>
                <w:lang w:val="uk-UA"/>
              </w:rPr>
            </w:pPr>
          </w:p>
        </w:tc>
      </w:tr>
      <w:tr w:rsidR="00A03569" w:rsidTr="00FE5372">
        <w:tc>
          <w:tcPr>
            <w:tcW w:w="4110" w:type="dxa"/>
            <w:vMerge w:val="restart"/>
          </w:tcPr>
          <w:p w:rsidR="00A03569" w:rsidRPr="00E20BF0" w:rsidRDefault="00A03569" w:rsidP="00E20BF0">
            <w:pPr>
              <w:pStyle w:val="20"/>
              <w:shd w:val="clear" w:color="auto" w:fill="auto"/>
              <w:spacing w:line="240" w:lineRule="auto"/>
              <w:rPr>
                <w:b w:val="0"/>
                <w:lang w:val="uk-UA"/>
              </w:rPr>
            </w:pPr>
            <w:r w:rsidRPr="00E20BF0">
              <w:rPr>
                <w:b w:val="0"/>
                <w:lang w:val="uk-UA"/>
              </w:rPr>
              <w:lastRenderedPageBreak/>
              <w:t>17. Проведення консультацій та надання необхідної комплексної, гуманітарної, медичної, соціально- психологічної, правової допомоги особам, які постраждали від конфлікту</w:t>
            </w:r>
          </w:p>
        </w:tc>
        <w:tc>
          <w:tcPr>
            <w:tcW w:w="5350" w:type="dxa"/>
          </w:tcPr>
          <w:p w:rsidR="00A03569" w:rsidRPr="00E20BF0" w:rsidRDefault="00A03569" w:rsidP="00FE5372">
            <w:pPr>
              <w:pStyle w:val="20"/>
              <w:shd w:val="clear" w:color="auto" w:fill="auto"/>
              <w:spacing w:line="240" w:lineRule="auto"/>
              <w:rPr>
                <w:b w:val="0"/>
                <w:lang w:val="uk-UA"/>
              </w:rPr>
            </w:pPr>
            <w:r w:rsidRPr="00E20BF0">
              <w:rPr>
                <w:b w:val="0"/>
                <w:lang w:val="uk-UA"/>
              </w:rPr>
              <w:t>3) забезпечення падання жінкам і дівчатам, які постраждали від конфлікту, медичної та консультативної допомоги з питань репродуктивного здоров'я</w:t>
            </w:r>
          </w:p>
        </w:tc>
        <w:tc>
          <w:tcPr>
            <w:tcW w:w="4717" w:type="dxa"/>
          </w:tcPr>
          <w:p w:rsidR="00A03569" w:rsidRPr="003D5549" w:rsidRDefault="003D5549" w:rsidP="00431EAF">
            <w:pPr>
              <w:pStyle w:val="20"/>
              <w:shd w:val="clear" w:color="auto" w:fill="auto"/>
              <w:spacing w:line="240" w:lineRule="auto"/>
              <w:rPr>
                <w:b w:val="0"/>
                <w:bCs w:val="0"/>
                <w:lang w:val="uk-UA"/>
              </w:rPr>
            </w:pPr>
            <w:r w:rsidRPr="003D5549">
              <w:rPr>
                <w:b w:val="0"/>
                <w:bCs w:val="0"/>
                <w:lang w:val="uk-UA"/>
              </w:rPr>
              <w:t>Звернення постраждалих осіб відсутні</w:t>
            </w:r>
          </w:p>
        </w:tc>
      </w:tr>
      <w:tr w:rsidR="00A03569" w:rsidTr="00FE5372">
        <w:tc>
          <w:tcPr>
            <w:tcW w:w="4110" w:type="dxa"/>
            <w:vMerge/>
          </w:tcPr>
          <w:p w:rsidR="00A03569" w:rsidRDefault="00A03569" w:rsidP="00431EAF">
            <w:pPr>
              <w:pStyle w:val="20"/>
              <w:shd w:val="clear" w:color="auto" w:fill="auto"/>
              <w:spacing w:line="240" w:lineRule="auto"/>
              <w:rPr>
                <w:lang w:val="uk-UA"/>
              </w:rPr>
            </w:pPr>
          </w:p>
        </w:tc>
        <w:tc>
          <w:tcPr>
            <w:tcW w:w="5350" w:type="dxa"/>
          </w:tcPr>
          <w:p w:rsidR="00A03569" w:rsidRPr="00A03569" w:rsidRDefault="00A03569" w:rsidP="00431EAF">
            <w:pPr>
              <w:pStyle w:val="20"/>
              <w:shd w:val="clear" w:color="auto" w:fill="auto"/>
              <w:spacing w:line="240" w:lineRule="auto"/>
              <w:rPr>
                <w:b w:val="0"/>
                <w:lang w:val="uk-UA"/>
              </w:rPr>
            </w:pPr>
            <w:r w:rsidRPr="00A03569">
              <w:rPr>
                <w:b w:val="0"/>
                <w:lang w:val="uk-UA"/>
              </w:rPr>
              <w:t>9) створення сприятливих умов у територіальних громадах для прийняття внутрішньо переміщених осіб з урахуванням кількості прийнятих внутрішньо переміщених осіб та обсягу пошкоджень і руйнувань у територіальній громаді внаслідок бойових дій або ракетно-бомбових/артилерійських ударів</w:t>
            </w:r>
          </w:p>
        </w:tc>
        <w:tc>
          <w:tcPr>
            <w:tcW w:w="4717" w:type="dxa"/>
          </w:tcPr>
          <w:p w:rsidR="00077BEF" w:rsidRDefault="00077BEF" w:rsidP="00077BEF">
            <w:pPr>
              <w:pStyle w:val="20"/>
              <w:shd w:val="clear" w:color="auto" w:fill="auto"/>
              <w:spacing w:line="240" w:lineRule="auto"/>
              <w:jc w:val="center"/>
              <w:rPr>
                <w:lang w:val="uk-UA"/>
              </w:rPr>
            </w:pPr>
          </w:p>
          <w:p w:rsidR="00A03569" w:rsidRDefault="003D5549" w:rsidP="00077BEF">
            <w:pPr>
              <w:pStyle w:val="20"/>
              <w:shd w:val="clear" w:color="auto" w:fill="auto"/>
              <w:spacing w:line="240" w:lineRule="auto"/>
              <w:jc w:val="center"/>
              <w:rPr>
                <w:lang w:val="uk-UA"/>
              </w:rPr>
            </w:pPr>
            <w:r>
              <w:rPr>
                <w:lang w:val="uk-UA"/>
              </w:rPr>
              <w:t>-</w:t>
            </w:r>
          </w:p>
        </w:tc>
      </w:tr>
      <w:tr w:rsidR="00A03569" w:rsidTr="00FE5372">
        <w:tc>
          <w:tcPr>
            <w:tcW w:w="14177" w:type="dxa"/>
            <w:gridSpan w:val="3"/>
          </w:tcPr>
          <w:p w:rsidR="00A03569" w:rsidRPr="00A03569" w:rsidRDefault="00A03569" w:rsidP="00A03569">
            <w:pPr>
              <w:pStyle w:val="20"/>
              <w:rPr>
                <w:lang w:val="uk-UA"/>
              </w:rPr>
            </w:pPr>
            <w:r w:rsidRPr="00A03569">
              <w:rPr>
                <w:lang w:val="uk-UA"/>
              </w:rPr>
              <w:t>Оперативна ціль 4.2. Формування системи міжвідомчого виявлення та реагування, яка створює умови для отримання комплексного, своєчасного захисту та доступу до правосуддя осіб, які постраждали від насильства за ознакою статі та</w:t>
            </w:r>
          </w:p>
          <w:p w:rsidR="00A03569" w:rsidRDefault="00A03569" w:rsidP="00A03569">
            <w:pPr>
              <w:pStyle w:val="20"/>
              <w:shd w:val="clear" w:color="auto" w:fill="auto"/>
              <w:spacing w:line="240" w:lineRule="auto"/>
              <w:jc w:val="center"/>
              <w:rPr>
                <w:lang w:val="uk-UA"/>
              </w:rPr>
            </w:pPr>
            <w:r w:rsidRPr="00A03569">
              <w:rPr>
                <w:lang w:val="uk-UA"/>
              </w:rPr>
              <w:t>сексуального насильства, пов'язаного з конфліктом, у мирний час</w:t>
            </w:r>
          </w:p>
        </w:tc>
      </w:tr>
      <w:tr w:rsidR="00A03569" w:rsidTr="00FE5372">
        <w:tc>
          <w:tcPr>
            <w:tcW w:w="4110" w:type="dxa"/>
          </w:tcPr>
          <w:p w:rsidR="00A03569" w:rsidRPr="00A03569" w:rsidRDefault="00A03569" w:rsidP="00A03569">
            <w:pPr>
              <w:pStyle w:val="20"/>
              <w:shd w:val="clear" w:color="auto" w:fill="auto"/>
              <w:spacing w:line="240" w:lineRule="auto"/>
              <w:rPr>
                <w:b w:val="0"/>
                <w:lang w:val="uk-UA"/>
              </w:rPr>
            </w:pPr>
            <w:r w:rsidRPr="00A03569">
              <w:rPr>
                <w:b w:val="0"/>
                <w:lang w:val="uk-UA"/>
              </w:rPr>
              <w:t xml:space="preserve">22. Внесення змін до законодавства в частині протидії </w:t>
            </w:r>
            <w:r w:rsidRPr="00A03569">
              <w:rPr>
                <w:b w:val="0"/>
              </w:rPr>
              <w:t>насильству за ознакою статі відповідно до міжнародних стандартів</w:t>
            </w:r>
          </w:p>
        </w:tc>
        <w:tc>
          <w:tcPr>
            <w:tcW w:w="5350" w:type="dxa"/>
          </w:tcPr>
          <w:p w:rsidR="00A03569" w:rsidRPr="00A03569" w:rsidRDefault="00A03569" w:rsidP="00431EAF">
            <w:pPr>
              <w:pStyle w:val="20"/>
              <w:shd w:val="clear" w:color="auto" w:fill="auto"/>
              <w:spacing w:line="240" w:lineRule="auto"/>
              <w:rPr>
                <w:b w:val="0"/>
                <w:lang w:val="uk-UA"/>
              </w:rPr>
            </w:pPr>
            <w:r w:rsidRPr="00A03569">
              <w:rPr>
                <w:b w:val="0"/>
                <w:lang w:val="ru"/>
              </w:rPr>
              <w:t xml:space="preserve">1) </w:t>
            </w:r>
            <w:r w:rsidRPr="00A03569">
              <w:rPr>
                <w:b w:val="0"/>
              </w:rPr>
              <w:t>удосконалення порядку взаємодії суб'єктів, що здійснюють заходи у сфері запобігання та протидії домашньому насильству і насильству за</w:t>
            </w:r>
            <w:r w:rsidRPr="00A03569">
              <w:rPr>
                <w:b w:val="0"/>
                <w:lang w:val="uk-UA"/>
              </w:rPr>
              <w:t xml:space="preserve"> </w:t>
            </w:r>
            <w:r w:rsidRPr="00A03569">
              <w:rPr>
                <w:b w:val="0"/>
              </w:rPr>
              <w:t>ознакою статі, з реагування на випадки насильства за ознакою статі, у тому числі сексуальні домагання</w:t>
            </w:r>
          </w:p>
        </w:tc>
        <w:tc>
          <w:tcPr>
            <w:tcW w:w="4717" w:type="dxa"/>
          </w:tcPr>
          <w:p w:rsidR="00077BEF" w:rsidRDefault="00077BEF" w:rsidP="00431EAF">
            <w:pPr>
              <w:pStyle w:val="20"/>
              <w:shd w:val="clear" w:color="auto" w:fill="auto"/>
              <w:spacing w:line="240" w:lineRule="auto"/>
              <w:rPr>
                <w:lang w:val="uk-UA"/>
              </w:rPr>
            </w:pPr>
            <w:r>
              <w:rPr>
                <w:lang w:val="uk-UA"/>
              </w:rPr>
              <w:t xml:space="preserve">                                  </w:t>
            </w:r>
          </w:p>
          <w:p w:rsidR="00077BEF" w:rsidRDefault="00077BEF" w:rsidP="00431EAF">
            <w:pPr>
              <w:pStyle w:val="20"/>
              <w:shd w:val="clear" w:color="auto" w:fill="auto"/>
              <w:spacing w:line="240" w:lineRule="auto"/>
              <w:rPr>
                <w:lang w:val="uk-UA"/>
              </w:rPr>
            </w:pPr>
          </w:p>
          <w:p w:rsidR="00A03569" w:rsidRDefault="00077BEF" w:rsidP="00431EAF">
            <w:pPr>
              <w:pStyle w:val="20"/>
              <w:shd w:val="clear" w:color="auto" w:fill="auto"/>
              <w:spacing w:line="240" w:lineRule="auto"/>
              <w:rPr>
                <w:lang w:val="uk-UA"/>
              </w:rPr>
            </w:pPr>
            <w:r>
              <w:rPr>
                <w:lang w:val="uk-UA"/>
              </w:rPr>
              <w:t xml:space="preserve">                                  -</w:t>
            </w:r>
          </w:p>
        </w:tc>
      </w:tr>
      <w:tr w:rsidR="00A03569" w:rsidTr="00FE5372">
        <w:tc>
          <w:tcPr>
            <w:tcW w:w="4110" w:type="dxa"/>
          </w:tcPr>
          <w:p w:rsidR="00A03569" w:rsidRPr="00A03569" w:rsidRDefault="00A03569" w:rsidP="00A03569">
            <w:pPr>
              <w:pStyle w:val="20"/>
              <w:shd w:val="clear" w:color="auto" w:fill="auto"/>
              <w:spacing w:line="240" w:lineRule="auto"/>
              <w:rPr>
                <w:b w:val="0"/>
                <w:lang w:val="uk-UA"/>
              </w:rPr>
            </w:pPr>
            <w:r w:rsidRPr="00A03569">
              <w:rPr>
                <w:b w:val="0"/>
                <w:lang w:val="uk-UA"/>
              </w:rPr>
              <w:t>23.Забезпечення виявлення випадків насильства за ознакою статі та належного реагування на них</w:t>
            </w:r>
          </w:p>
        </w:tc>
        <w:tc>
          <w:tcPr>
            <w:tcW w:w="5350" w:type="dxa"/>
          </w:tcPr>
          <w:p w:rsidR="00A03569" w:rsidRPr="00A03569" w:rsidRDefault="00A03569" w:rsidP="00431EAF">
            <w:pPr>
              <w:pStyle w:val="20"/>
              <w:shd w:val="clear" w:color="auto" w:fill="auto"/>
              <w:spacing w:line="240" w:lineRule="auto"/>
              <w:rPr>
                <w:b w:val="0"/>
                <w:lang w:val="uk-UA"/>
              </w:rPr>
            </w:pPr>
            <w:r w:rsidRPr="00A03569">
              <w:rPr>
                <w:b w:val="0"/>
                <w:lang w:val="uk-UA"/>
              </w:rPr>
              <w:t>2) забезпечення підвищення кваліфікації фахівців, які залучені або можуть бути залучені до запобігання та протидії насильству за ознакою статі та сексуальному насильству, пов'язаному з конфліктом, відповідно до стандартів ООН та НАТО</w:t>
            </w:r>
          </w:p>
        </w:tc>
        <w:tc>
          <w:tcPr>
            <w:tcW w:w="4717" w:type="dxa"/>
          </w:tcPr>
          <w:p w:rsidR="007F765B" w:rsidRDefault="007F765B" w:rsidP="007F765B">
            <w:pPr>
              <w:pStyle w:val="20"/>
              <w:shd w:val="clear" w:color="auto" w:fill="auto"/>
              <w:spacing w:line="240" w:lineRule="auto"/>
              <w:rPr>
                <w:b w:val="0"/>
                <w:bCs w:val="0"/>
                <w:lang w:val="uk-UA"/>
              </w:rPr>
            </w:pPr>
            <w:r>
              <w:rPr>
                <w:b w:val="0"/>
                <w:bCs w:val="0"/>
                <w:lang w:val="uk-UA"/>
              </w:rPr>
              <w:t xml:space="preserve">Медичні працівники </w:t>
            </w:r>
            <w:r w:rsidRPr="003D5549">
              <w:rPr>
                <w:b w:val="0"/>
                <w:bCs w:val="0"/>
                <w:lang w:val="uk-UA"/>
              </w:rPr>
              <w:t xml:space="preserve">поліклініки </w:t>
            </w:r>
            <w:r>
              <w:rPr>
                <w:b w:val="0"/>
                <w:bCs w:val="0"/>
                <w:lang w:val="uk-UA"/>
              </w:rPr>
              <w:t>проходять курси та тренінги з наступних тем:</w:t>
            </w:r>
          </w:p>
          <w:p w:rsidR="007F765B" w:rsidRDefault="007F765B" w:rsidP="007F765B">
            <w:pPr>
              <w:pStyle w:val="20"/>
              <w:shd w:val="clear" w:color="auto" w:fill="auto"/>
              <w:spacing w:line="240" w:lineRule="auto"/>
              <w:rPr>
                <w:b w:val="0"/>
                <w:bCs w:val="0"/>
                <w:lang w:val="uk-UA"/>
              </w:rPr>
            </w:pPr>
            <w:r>
              <w:rPr>
                <w:b w:val="0"/>
                <w:bCs w:val="0"/>
                <w:lang w:val="uk-UA"/>
              </w:rPr>
              <w:t>- Підтримка психічного здоров’я пацієнтів в часи надзвичайних станів;</w:t>
            </w:r>
          </w:p>
          <w:p w:rsidR="007F765B" w:rsidRDefault="007F765B" w:rsidP="007F765B">
            <w:pPr>
              <w:pStyle w:val="20"/>
              <w:shd w:val="clear" w:color="auto" w:fill="auto"/>
              <w:spacing w:line="240" w:lineRule="auto"/>
              <w:rPr>
                <w:b w:val="0"/>
                <w:bCs w:val="0"/>
                <w:lang w:val="uk-UA"/>
              </w:rPr>
            </w:pPr>
            <w:r>
              <w:rPr>
                <w:b w:val="0"/>
                <w:bCs w:val="0"/>
                <w:lang w:val="uk-UA"/>
              </w:rPr>
              <w:t xml:space="preserve"> -Тренінг з розбудови  спроможності працівників закладів ПМД у наданні послуг особам, що постраждали від </w:t>
            </w:r>
            <w:proofErr w:type="spellStart"/>
            <w:r>
              <w:rPr>
                <w:b w:val="0"/>
                <w:bCs w:val="0"/>
                <w:lang w:val="uk-UA"/>
              </w:rPr>
              <w:t>гендерно</w:t>
            </w:r>
            <w:proofErr w:type="spellEnd"/>
            <w:r>
              <w:rPr>
                <w:b w:val="0"/>
                <w:bCs w:val="0"/>
                <w:lang w:val="uk-UA"/>
              </w:rPr>
              <w:t xml:space="preserve">-зумовленого насильства; </w:t>
            </w:r>
          </w:p>
          <w:p w:rsidR="007F765B" w:rsidRDefault="007F765B" w:rsidP="007F765B">
            <w:pPr>
              <w:pStyle w:val="20"/>
              <w:shd w:val="clear" w:color="auto" w:fill="auto"/>
              <w:spacing w:line="240" w:lineRule="auto"/>
              <w:rPr>
                <w:b w:val="0"/>
                <w:bCs w:val="0"/>
                <w:lang w:val="uk-UA"/>
              </w:rPr>
            </w:pPr>
            <w:r>
              <w:rPr>
                <w:b w:val="0"/>
                <w:bCs w:val="0"/>
                <w:lang w:val="uk-UA"/>
              </w:rPr>
              <w:t xml:space="preserve">- Навчання з ведення поширених психічних розладів на первинному рівні медичної допомоги із використанням керівництва </w:t>
            </w:r>
            <w:proofErr w:type="spellStart"/>
            <w:r>
              <w:rPr>
                <w:b w:val="0"/>
                <w:bCs w:val="0"/>
                <w:lang w:val="en-US"/>
              </w:rPr>
              <w:t>mhGAP</w:t>
            </w:r>
            <w:proofErr w:type="spellEnd"/>
            <w:r>
              <w:rPr>
                <w:b w:val="0"/>
                <w:bCs w:val="0"/>
                <w:lang w:val="uk-UA"/>
              </w:rPr>
              <w:t xml:space="preserve">. </w:t>
            </w:r>
          </w:p>
          <w:p w:rsidR="00A03569" w:rsidRDefault="00A03569" w:rsidP="00431EAF">
            <w:pPr>
              <w:pStyle w:val="20"/>
              <w:shd w:val="clear" w:color="auto" w:fill="auto"/>
              <w:spacing w:line="240" w:lineRule="auto"/>
              <w:rPr>
                <w:lang w:val="uk-UA"/>
              </w:rPr>
            </w:pPr>
            <w:bookmarkStart w:id="0" w:name="_GoBack"/>
            <w:bookmarkEnd w:id="0"/>
          </w:p>
        </w:tc>
      </w:tr>
      <w:tr w:rsidR="00FE5372" w:rsidTr="00FE5372">
        <w:tc>
          <w:tcPr>
            <w:tcW w:w="4110" w:type="dxa"/>
          </w:tcPr>
          <w:p w:rsidR="00FE5372" w:rsidRPr="00FE5372" w:rsidRDefault="00FE5372" w:rsidP="00FE5372">
            <w:pPr>
              <w:pStyle w:val="20"/>
              <w:shd w:val="clear" w:color="auto" w:fill="auto"/>
              <w:spacing w:line="240" w:lineRule="auto"/>
              <w:rPr>
                <w:b w:val="0"/>
                <w:lang w:val="uk-UA"/>
              </w:rPr>
            </w:pPr>
            <w:r w:rsidRPr="00FE5372">
              <w:rPr>
                <w:b w:val="0"/>
                <w:lang w:val="uk-UA"/>
              </w:rPr>
              <w:lastRenderedPageBreak/>
              <w:t>24. Забезпечення системного моніторингу функціонування системи реагування на насильство за ознакою статі; сексуальне насильство, пов'язане з конфліктом; торгівлю людьми</w:t>
            </w:r>
          </w:p>
        </w:tc>
        <w:tc>
          <w:tcPr>
            <w:tcW w:w="5350" w:type="dxa"/>
          </w:tcPr>
          <w:p w:rsidR="00FE5372" w:rsidRPr="009E70A2" w:rsidRDefault="00FE5372" w:rsidP="00FE5372">
            <w:pPr>
              <w:pStyle w:val="1"/>
              <w:shd w:val="clear" w:color="auto" w:fill="auto"/>
              <w:spacing w:line="240" w:lineRule="auto"/>
            </w:pPr>
            <w:r w:rsidRPr="009E70A2">
              <w:rPr>
                <w:lang w:val="ru"/>
              </w:rPr>
              <w:t xml:space="preserve">2) </w:t>
            </w:r>
            <w:r w:rsidRPr="009E70A2">
              <w:t xml:space="preserve">проведення моніторингу виконання наказу Міністерству охорони здоров'я від </w:t>
            </w:r>
            <w:r w:rsidRPr="009E70A2">
              <w:rPr>
                <w:lang w:val="ru"/>
              </w:rPr>
              <w:t xml:space="preserve">01 </w:t>
            </w:r>
            <w:r w:rsidRPr="009E70A2">
              <w:t xml:space="preserve">лютого </w:t>
            </w:r>
            <w:r w:rsidRPr="009E70A2">
              <w:rPr>
                <w:lang w:val="ru"/>
              </w:rPr>
              <w:t xml:space="preserve">2019 </w:t>
            </w:r>
            <w:r w:rsidRPr="009E70A2">
              <w:t xml:space="preserve">року </w:t>
            </w:r>
            <w:r w:rsidRPr="009E70A2">
              <w:rPr>
                <w:lang w:val="ru"/>
              </w:rPr>
              <w:t xml:space="preserve">№278 </w:t>
            </w:r>
            <w:r w:rsidRPr="009E70A2">
              <w:t>щодо проведення та документування результатів медичного обстеження постраждалих від домашнього насильства або осіб, які ймовірно постраждали від домашнього насильства, насильства за ознакою статі, та надання їм медичної допомоги</w:t>
            </w:r>
          </w:p>
        </w:tc>
        <w:tc>
          <w:tcPr>
            <w:tcW w:w="4717" w:type="dxa"/>
          </w:tcPr>
          <w:p w:rsidR="00077BEF" w:rsidRDefault="00077BEF" w:rsidP="00FE5372">
            <w:pPr>
              <w:pStyle w:val="20"/>
              <w:shd w:val="clear" w:color="auto" w:fill="auto"/>
              <w:spacing w:line="240" w:lineRule="auto"/>
              <w:rPr>
                <w:lang w:val="uk-UA"/>
              </w:rPr>
            </w:pPr>
            <w:r w:rsidRPr="003D5549">
              <w:rPr>
                <w:b w:val="0"/>
                <w:bCs w:val="0"/>
                <w:lang w:val="uk-UA"/>
              </w:rPr>
              <w:t>Звернення постраждалих осіб відсутні</w:t>
            </w:r>
            <w:r>
              <w:rPr>
                <w:b w:val="0"/>
                <w:bCs w:val="0"/>
                <w:lang w:val="uk-UA"/>
              </w:rPr>
              <w:t>.</w:t>
            </w:r>
            <w:r>
              <w:rPr>
                <w:lang w:val="uk-UA"/>
              </w:rPr>
              <w:t xml:space="preserve">  </w:t>
            </w:r>
          </w:p>
          <w:p w:rsidR="00077BEF" w:rsidRPr="00077BEF" w:rsidRDefault="00077BEF" w:rsidP="00FE5372">
            <w:pPr>
              <w:pStyle w:val="20"/>
              <w:shd w:val="clear" w:color="auto" w:fill="auto"/>
              <w:spacing w:line="240" w:lineRule="auto"/>
              <w:rPr>
                <w:b w:val="0"/>
                <w:bCs w:val="0"/>
                <w:lang w:val="uk-UA"/>
              </w:rPr>
            </w:pPr>
            <w:r w:rsidRPr="00077BEF">
              <w:rPr>
                <w:b w:val="0"/>
                <w:bCs w:val="0"/>
                <w:lang w:val="uk-UA"/>
              </w:rPr>
              <w:t xml:space="preserve">Щоквартально надається звіт про </w:t>
            </w:r>
            <w:r w:rsidRPr="00077BEF">
              <w:rPr>
                <w:b w:val="0"/>
                <w:bCs w:val="0"/>
              </w:rPr>
              <w:t>постраждалих від домашнього насильства або осіб, які ймовірно постраждали від домашнього насильства, насильства за ознакою статі, та надання їм медичної допомоги</w:t>
            </w:r>
            <w:r w:rsidRPr="00077BEF">
              <w:rPr>
                <w:b w:val="0"/>
                <w:bCs w:val="0"/>
                <w:lang w:val="uk-UA"/>
              </w:rPr>
              <w:t xml:space="preserve">         </w:t>
            </w:r>
          </w:p>
        </w:tc>
      </w:tr>
      <w:tr w:rsidR="00FE5372" w:rsidTr="00FE5372">
        <w:tc>
          <w:tcPr>
            <w:tcW w:w="4110" w:type="dxa"/>
          </w:tcPr>
          <w:p w:rsidR="00FE5372" w:rsidRDefault="00FE5372" w:rsidP="00FE5372">
            <w:pPr>
              <w:pStyle w:val="20"/>
              <w:shd w:val="clear" w:color="auto" w:fill="auto"/>
              <w:spacing w:line="240" w:lineRule="auto"/>
              <w:rPr>
                <w:lang w:val="uk-UA"/>
              </w:rPr>
            </w:pPr>
          </w:p>
        </w:tc>
        <w:tc>
          <w:tcPr>
            <w:tcW w:w="5350" w:type="dxa"/>
          </w:tcPr>
          <w:p w:rsidR="00FE5372" w:rsidRDefault="00FE5372" w:rsidP="00FE5372">
            <w:pPr>
              <w:pStyle w:val="1"/>
              <w:shd w:val="clear" w:color="auto" w:fill="auto"/>
              <w:spacing w:line="240" w:lineRule="auto"/>
              <w:rPr>
                <w:lang w:val="uk-UA"/>
              </w:rPr>
            </w:pPr>
            <w:r w:rsidRPr="009E70A2">
              <w:rPr>
                <w:lang w:val="ru"/>
              </w:rPr>
              <w:t xml:space="preserve">3) </w:t>
            </w:r>
            <w:r w:rsidRPr="009E70A2">
              <w:t>проведення моніторингу функціонування спеціалізованих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сексуального насильства, пов'язаного з конфліктом, та якості такої допомоги</w:t>
            </w:r>
          </w:p>
          <w:p w:rsidR="00FE5372" w:rsidRDefault="00FE5372" w:rsidP="00FE5372">
            <w:pPr>
              <w:pStyle w:val="1"/>
              <w:shd w:val="clear" w:color="auto" w:fill="auto"/>
              <w:spacing w:line="240" w:lineRule="auto"/>
              <w:rPr>
                <w:lang w:val="uk-UA"/>
              </w:rPr>
            </w:pPr>
          </w:p>
          <w:p w:rsidR="00FE5372" w:rsidRPr="00FE5372" w:rsidRDefault="00FE5372" w:rsidP="00FE5372">
            <w:pPr>
              <w:pStyle w:val="1"/>
              <w:shd w:val="clear" w:color="auto" w:fill="auto"/>
              <w:spacing w:line="240" w:lineRule="auto"/>
              <w:rPr>
                <w:lang w:val="uk-UA"/>
              </w:rPr>
            </w:pPr>
          </w:p>
        </w:tc>
        <w:tc>
          <w:tcPr>
            <w:tcW w:w="4717" w:type="dxa"/>
          </w:tcPr>
          <w:p w:rsidR="00FE5372" w:rsidRDefault="00FE5372" w:rsidP="00FE5372">
            <w:pPr>
              <w:pStyle w:val="20"/>
              <w:shd w:val="clear" w:color="auto" w:fill="auto"/>
              <w:spacing w:line="240" w:lineRule="auto"/>
              <w:rPr>
                <w:lang w:val="uk-UA"/>
              </w:rPr>
            </w:pPr>
          </w:p>
          <w:p w:rsidR="00077BEF" w:rsidRDefault="00077BEF" w:rsidP="00FE5372">
            <w:pPr>
              <w:pStyle w:val="20"/>
              <w:shd w:val="clear" w:color="auto" w:fill="auto"/>
              <w:spacing w:line="240" w:lineRule="auto"/>
              <w:rPr>
                <w:lang w:val="uk-UA"/>
              </w:rPr>
            </w:pPr>
          </w:p>
          <w:p w:rsidR="00077BEF" w:rsidRDefault="00077BEF" w:rsidP="00FE5372">
            <w:pPr>
              <w:pStyle w:val="20"/>
              <w:shd w:val="clear" w:color="auto" w:fill="auto"/>
              <w:spacing w:line="240" w:lineRule="auto"/>
              <w:rPr>
                <w:lang w:val="uk-UA"/>
              </w:rPr>
            </w:pPr>
            <w:r>
              <w:rPr>
                <w:lang w:val="uk-UA"/>
              </w:rPr>
              <w:t xml:space="preserve">                          -</w:t>
            </w:r>
          </w:p>
        </w:tc>
      </w:tr>
      <w:tr w:rsidR="00FE5372" w:rsidTr="00FE5372">
        <w:tc>
          <w:tcPr>
            <w:tcW w:w="14177" w:type="dxa"/>
            <w:gridSpan w:val="3"/>
          </w:tcPr>
          <w:p w:rsidR="00FE5372" w:rsidRDefault="00FE5372" w:rsidP="00FE5372">
            <w:pPr>
              <w:pStyle w:val="20"/>
              <w:jc w:val="center"/>
              <w:rPr>
                <w:lang w:val="uk-UA"/>
              </w:rPr>
            </w:pPr>
            <w:r w:rsidRPr="00FE5372">
              <w:rPr>
                <w:lang w:val="uk-UA"/>
              </w:rPr>
              <w:t>Оперативна ціль 4.3. Забезпечення комплексної допомоги особам, які постраждали від насильства за ознакою статі та сексуального насильства, пов'язаного з конфліктом, з урахуванням специфічних потреб постраждалих в умовах</w:t>
            </w:r>
            <w:r>
              <w:rPr>
                <w:lang w:val="uk-UA"/>
              </w:rPr>
              <w:t xml:space="preserve"> </w:t>
            </w:r>
            <w:r w:rsidRPr="00FE5372">
              <w:rPr>
                <w:lang w:val="uk-UA"/>
              </w:rPr>
              <w:t>збройного конфлікту та в мирний час</w:t>
            </w:r>
          </w:p>
        </w:tc>
      </w:tr>
      <w:tr w:rsidR="00A03569" w:rsidTr="00FE5372">
        <w:tc>
          <w:tcPr>
            <w:tcW w:w="4110" w:type="dxa"/>
          </w:tcPr>
          <w:p w:rsidR="00A03569" w:rsidRPr="00FE5372" w:rsidRDefault="00FE5372" w:rsidP="00FE5372">
            <w:pPr>
              <w:pStyle w:val="20"/>
              <w:shd w:val="clear" w:color="auto" w:fill="auto"/>
              <w:spacing w:line="240" w:lineRule="auto"/>
              <w:rPr>
                <w:b w:val="0"/>
                <w:lang w:val="uk-UA"/>
              </w:rPr>
            </w:pPr>
            <w:r w:rsidRPr="00FE5372">
              <w:rPr>
                <w:b w:val="0"/>
                <w:lang w:val="uk-UA"/>
              </w:rPr>
              <w:t>25. Забезпечення надання ефективної своєчасної допомоги особам, які постраждали від насильства за ознакою статі; сексуального насильства, пов'язаного з конфліктом; торгівлі людьми</w:t>
            </w:r>
          </w:p>
        </w:tc>
        <w:tc>
          <w:tcPr>
            <w:tcW w:w="5350" w:type="dxa"/>
          </w:tcPr>
          <w:p w:rsidR="00A03569" w:rsidRPr="00FE5372" w:rsidRDefault="00FE5372" w:rsidP="00FE5372">
            <w:pPr>
              <w:pStyle w:val="20"/>
              <w:shd w:val="clear" w:color="auto" w:fill="auto"/>
              <w:spacing w:line="240" w:lineRule="auto"/>
              <w:ind w:left="-108"/>
              <w:rPr>
                <w:b w:val="0"/>
                <w:lang w:val="uk-UA"/>
              </w:rPr>
            </w:pPr>
            <w:r w:rsidRPr="00FE5372">
              <w:rPr>
                <w:b w:val="0"/>
                <w:lang w:val="uk-UA"/>
              </w:rPr>
              <w:t>2) забезпечення вільного доступу постраждалих від сексуального насильства, а також їхніх дітей, членів сімей та інших свідків до своєчасних та орієнтованих на постраждалих послуг, у тому числі психологічних, правових, соціальних послуг, послуг у сфері сексуального та репродуктивного здоров'я, а також надання екстреної допомоги та підтримки в реінтеграції, у тому числі через забезпечення діяльності центрів допомоги врятованим</w:t>
            </w:r>
          </w:p>
        </w:tc>
        <w:tc>
          <w:tcPr>
            <w:tcW w:w="4717" w:type="dxa"/>
          </w:tcPr>
          <w:p w:rsidR="00077BEF" w:rsidRDefault="00077BEF" w:rsidP="00431EAF">
            <w:pPr>
              <w:pStyle w:val="20"/>
              <w:shd w:val="clear" w:color="auto" w:fill="auto"/>
              <w:spacing w:line="240" w:lineRule="auto"/>
              <w:rPr>
                <w:b w:val="0"/>
                <w:bCs w:val="0"/>
                <w:lang w:val="uk-UA"/>
              </w:rPr>
            </w:pPr>
          </w:p>
          <w:p w:rsidR="00077BEF" w:rsidRDefault="00077BEF" w:rsidP="00431EAF">
            <w:pPr>
              <w:pStyle w:val="20"/>
              <w:shd w:val="clear" w:color="auto" w:fill="auto"/>
              <w:spacing w:line="240" w:lineRule="auto"/>
              <w:rPr>
                <w:b w:val="0"/>
                <w:bCs w:val="0"/>
                <w:lang w:val="uk-UA"/>
              </w:rPr>
            </w:pPr>
          </w:p>
          <w:p w:rsidR="00077BEF" w:rsidRDefault="00077BEF" w:rsidP="00431EAF">
            <w:pPr>
              <w:pStyle w:val="20"/>
              <w:shd w:val="clear" w:color="auto" w:fill="auto"/>
              <w:spacing w:line="240" w:lineRule="auto"/>
              <w:rPr>
                <w:b w:val="0"/>
                <w:bCs w:val="0"/>
                <w:lang w:val="uk-UA"/>
              </w:rPr>
            </w:pPr>
          </w:p>
          <w:p w:rsidR="00077BEF" w:rsidRDefault="00077BEF" w:rsidP="00431EAF">
            <w:pPr>
              <w:pStyle w:val="20"/>
              <w:shd w:val="clear" w:color="auto" w:fill="auto"/>
              <w:spacing w:line="240" w:lineRule="auto"/>
              <w:rPr>
                <w:b w:val="0"/>
                <w:bCs w:val="0"/>
                <w:lang w:val="uk-UA"/>
              </w:rPr>
            </w:pPr>
          </w:p>
          <w:p w:rsidR="00A03569" w:rsidRDefault="00077BEF" w:rsidP="00431EAF">
            <w:pPr>
              <w:pStyle w:val="20"/>
              <w:shd w:val="clear" w:color="auto" w:fill="auto"/>
              <w:spacing w:line="240" w:lineRule="auto"/>
              <w:rPr>
                <w:lang w:val="uk-UA"/>
              </w:rPr>
            </w:pPr>
            <w:r w:rsidRPr="003D5549">
              <w:rPr>
                <w:b w:val="0"/>
                <w:bCs w:val="0"/>
                <w:lang w:val="uk-UA"/>
              </w:rPr>
              <w:t>Звернення постраждалих осіб відсутні</w:t>
            </w:r>
          </w:p>
        </w:tc>
      </w:tr>
      <w:tr w:rsidR="00A03569" w:rsidTr="00FE5372">
        <w:tc>
          <w:tcPr>
            <w:tcW w:w="4110" w:type="dxa"/>
          </w:tcPr>
          <w:p w:rsidR="00A03569" w:rsidRDefault="00A03569" w:rsidP="00431EAF">
            <w:pPr>
              <w:pStyle w:val="20"/>
              <w:shd w:val="clear" w:color="auto" w:fill="auto"/>
              <w:spacing w:line="240" w:lineRule="auto"/>
              <w:rPr>
                <w:lang w:val="uk-UA"/>
              </w:rPr>
            </w:pPr>
          </w:p>
        </w:tc>
        <w:tc>
          <w:tcPr>
            <w:tcW w:w="5350" w:type="dxa"/>
          </w:tcPr>
          <w:p w:rsidR="00A03569" w:rsidRDefault="00A03569" w:rsidP="00431EAF">
            <w:pPr>
              <w:pStyle w:val="20"/>
              <w:shd w:val="clear" w:color="auto" w:fill="auto"/>
              <w:spacing w:line="240" w:lineRule="auto"/>
              <w:rPr>
                <w:lang w:val="uk-UA"/>
              </w:rPr>
            </w:pPr>
          </w:p>
        </w:tc>
        <w:tc>
          <w:tcPr>
            <w:tcW w:w="4717" w:type="dxa"/>
          </w:tcPr>
          <w:p w:rsidR="00A03569" w:rsidRDefault="00A03569" w:rsidP="00431EAF">
            <w:pPr>
              <w:pStyle w:val="20"/>
              <w:shd w:val="clear" w:color="auto" w:fill="auto"/>
              <w:spacing w:line="240" w:lineRule="auto"/>
              <w:rPr>
                <w:lang w:val="uk-UA"/>
              </w:rPr>
            </w:pPr>
          </w:p>
        </w:tc>
      </w:tr>
    </w:tbl>
    <w:p w:rsidR="00E03915" w:rsidRDefault="00E03915" w:rsidP="009E70A2">
      <w:pPr>
        <w:rPr>
          <w:rFonts w:ascii="Times New Roman" w:hAnsi="Times New Roman" w:cs="Times New Roman"/>
          <w:lang w:val="uk-UA"/>
        </w:rPr>
      </w:pPr>
    </w:p>
    <w:p w:rsidR="00077BEF" w:rsidRDefault="00077BEF" w:rsidP="009E70A2">
      <w:pPr>
        <w:rPr>
          <w:rFonts w:ascii="Times New Roman" w:hAnsi="Times New Roman" w:cs="Times New Roman"/>
          <w:lang w:val="uk-UA"/>
        </w:rPr>
      </w:pPr>
    </w:p>
    <w:p w:rsidR="00077BEF" w:rsidRDefault="00077BEF" w:rsidP="009E70A2">
      <w:pPr>
        <w:rPr>
          <w:rFonts w:ascii="Times New Roman" w:hAnsi="Times New Roman" w:cs="Times New Roman"/>
          <w:lang w:val="uk-UA"/>
        </w:rPr>
      </w:pPr>
    </w:p>
    <w:p w:rsidR="00077BEF" w:rsidRDefault="00077BEF" w:rsidP="009E70A2">
      <w:pPr>
        <w:rPr>
          <w:rFonts w:ascii="Times New Roman" w:hAnsi="Times New Roman" w:cs="Times New Roman"/>
          <w:lang w:val="uk-UA"/>
        </w:rPr>
      </w:pPr>
      <w:r>
        <w:rPr>
          <w:rFonts w:ascii="Times New Roman" w:hAnsi="Times New Roman" w:cs="Times New Roman"/>
          <w:lang w:val="uk-UA"/>
        </w:rPr>
        <w:t xml:space="preserve">Виконавець: </w:t>
      </w:r>
    </w:p>
    <w:p w:rsidR="00077BEF" w:rsidRPr="00FE5372" w:rsidRDefault="00077BEF" w:rsidP="009E70A2">
      <w:pPr>
        <w:rPr>
          <w:rFonts w:ascii="Times New Roman" w:hAnsi="Times New Roman" w:cs="Times New Roman"/>
          <w:lang w:val="uk-UA"/>
        </w:rPr>
      </w:pPr>
      <w:r>
        <w:rPr>
          <w:rFonts w:ascii="Times New Roman" w:hAnsi="Times New Roman" w:cs="Times New Roman"/>
          <w:lang w:val="uk-UA"/>
        </w:rPr>
        <w:t>Завідувач ЦПМД Гречко Н.І. 7250642</w:t>
      </w:r>
    </w:p>
    <w:sectPr w:rsidR="00077BEF" w:rsidRPr="00FE5372">
      <w:headerReference w:type="default" r:id="rId6"/>
      <w:pgSz w:w="16837" w:h="11905" w:orient="landscape"/>
      <w:pgMar w:top="1061" w:right="347" w:bottom="600" w:left="655" w:header="0" w:footer="3" w:gutter="0"/>
      <w:pgNumType w:start="3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DA5" w:rsidRDefault="008F4DA5">
      <w:r>
        <w:separator/>
      </w:r>
    </w:p>
  </w:endnote>
  <w:endnote w:type="continuationSeparator" w:id="0">
    <w:p w:rsidR="008F4DA5" w:rsidRDefault="008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DA5" w:rsidRDefault="008F4DA5"/>
  </w:footnote>
  <w:footnote w:type="continuationSeparator" w:id="0">
    <w:p w:rsidR="008F4DA5" w:rsidRDefault="008F4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15" w:rsidRDefault="00FE5372">
    <w:pPr>
      <w:pStyle w:val="a6"/>
      <w:framePr w:h="221" w:wrap="none" w:vAnchor="text" w:hAnchor="page" w:x="8282" w:y="643"/>
      <w:shd w:val="clear" w:color="auto" w:fill="auto"/>
      <w:jc w:val="both"/>
    </w:pPr>
    <w:r>
      <w:fldChar w:fldCharType="begin"/>
    </w:r>
    <w:r>
      <w:instrText xml:space="preserve"> PAGE \* MERGEFORMAT </w:instrText>
    </w:r>
    <w:r>
      <w:fldChar w:fldCharType="separate"/>
    </w:r>
    <w:r w:rsidR="00B77CD9" w:rsidRPr="00B77CD9">
      <w:rPr>
        <w:rStyle w:val="MSGothic105pt"/>
        <w:noProof/>
      </w:rPr>
      <w:t>31</w:t>
    </w:r>
    <w:r>
      <w:rPr>
        <w:rStyle w:val="MSGothic105pt"/>
      </w:rPr>
      <w:fldChar w:fldCharType="end"/>
    </w:r>
  </w:p>
  <w:p w:rsidR="00E03915" w:rsidRDefault="00E03915">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15"/>
    <w:rsid w:val="00077BEF"/>
    <w:rsid w:val="001330D4"/>
    <w:rsid w:val="00345A7F"/>
    <w:rsid w:val="00353C97"/>
    <w:rsid w:val="003D5549"/>
    <w:rsid w:val="00431EAF"/>
    <w:rsid w:val="007F765B"/>
    <w:rsid w:val="008F4DA5"/>
    <w:rsid w:val="009E70A2"/>
    <w:rsid w:val="00A03569"/>
    <w:rsid w:val="00B36ABD"/>
    <w:rsid w:val="00B77CD9"/>
    <w:rsid w:val="00B9316A"/>
    <w:rsid w:val="00BA1EF6"/>
    <w:rsid w:val="00C81714"/>
    <w:rsid w:val="00CE5E08"/>
    <w:rsid w:val="00E03915"/>
    <w:rsid w:val="00E20BF0"/>
    <w:rsid w:val="00FB4106"/>
    <w:rsid w:val="00FE5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3763"/>
  <w15:docId w15:val="{79A1FB09-4E0B-4D45-A27E-FDDF5CE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4"/>
      <w:szCs w:val="24"/>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10"/>
      <w:sz w:val="24"/>
      <w:szCs w:val="24"/>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lang w:val="ru"/>
    </w:rPr>
  </w:style>
  <w:style w:type="character" w:customStyle="1" w:styleId="MSGothic105pt">
    <w:name w:val="Колонтитул + MS Gothic;10;5 pt"/>
    <w:basedOn w:val="a5"/>
    <w:rPr>
      <w:rFonts w:ascii="MS Gothic" w:eastAsia="MS Gothic" w:hAnsi="MS Gothic" w:cs="MS Gothic"/>
      <w:b w:val="0"/>
      <w:bCs w:val="0"/>
      <w:i w:val="0"/>
      <w:iCs w:val="0"/>
      <w:smallCaps w:val="0"/>
      <w:strike w:val="0"/>
      <w:spacing w:val="0"/>
      <w:sz w:val="21"/>
      <w:szCs w:val="21"/>
      <w:lang w:val="ru"/>
    </w:rPr>
  </w:style>
  <w:style w:type="character" w:customStyle="1" w:styleId="21">
    <w:name w:val="Основной текст (2) + Не полужирный"/>
    <w:basedOn w:val="2"/>
    <w:rPr>
      <w:rFonts w:ascii="Times New Roman" w:eastAsia="Times New Roman" w:hAnsi="Times New Roman" w:cs="Times New Roman"/>
      <w:b/>
      <w:bCs/>
      <w:i w:val="0"/>
      <w:iCs w:val="0"/>
      <w:smallCaps w:val="0"/>
      <w:strike w:val="0"/>
      <w:spacing w:val="10"/>
      <w:sz w:val="24"/>
      <w:szCs w:val="24"/>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4"/>
      <w:szCs w:val="14"/>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b/>
      <w:bCs/>
      <w:spacing w:val="10"/>
    </w:rPr>
  </w:style>
  <w:style w:type="paragraph" w:customStyle="1" w:styleId="1">
    <w:name w:val="Основной текст1"/>
    <w:basedOn w:val="a"/>
    <w:link w:val="a4"/>
    <w:pPr>
      <w:shd w:val="clear" w:color="auto" w:fill="FFFFFF"/>
      <w:spacing w:line="322" w:lineRule="exact"/>
      <w:jc w:val="both"/>
    </w:pPr>
    <w:rPr>
      <w:rFonts w:ascii="Times New Roman" w:eastAsia="Times New Roman" w:hAnsi="Times New Roman" w:cs="Times New Roman"/>
      <w:spacing w:val="10"/>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lang w:val="ru"/>
    </w:rPr>
  </w:style>
  <w:style w:type="paragraph" w:customStyle="1" w:styleId="40">
    <w:name w:val="Основной текст (4)"/>
    <w:basedOn w:val="a"/>
    <w:link w:val="4"/>
    <w:pPr>
      <w:shd w:val="clear" w:color="auto" w:fill="FFFFFF"/>
      <w:spacing w:before="60" w:line="0" w:lineRule="atLeast"/>
    </w:pPr>
    <w:rPr>
      <w:rFonts w:ascii="Times New Roman" w:eastAsia="Times New Roman" w:hAnsi="Times New Roman" w:cs="Times New Roman"/>
      <w:sz w:val="14"/>
      <w:szCs w:val="14"/>
    </w:rPr>
  </w:style>
  <w:style w:type="table" w:styleId="a7">
    <w:name w:val="Table Grid"/>
    <w:basedOn w:val="a1"/>
    <w:uiPriority w:val="59"/>
    <w:rsid w:val="0043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7CD9"/>
    <w:rPr>
      <w:rFonts w:ascii="Tahoma" w:hAnsi="Tahoma" w:cs="Tahoma"/>
      <w:sz w:val="16"/>
      <w:szCs w:val="16"/>
    </w:rPr>
  </w:style>
  <w:style w:type="character" w:customStyle="1" w:styleId="a9">
    <w:name w:val="Текст выноски Знак"/>
    <w:basedOn w:val="a0"/>
    <w:link w:val="a8"/>
    <w:uiPriority w:val="99"/>
    <w:semiHidden/>
    <w:rsid w:val="00B77CD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ASKOD</dc:creator>
  <cp:keywords/>
  <cp:lastModifiedBy>DocUser</cp:lastModifiedBy>
  <cp:revision>8</cp:revision>
  <cp:lastPrinted>2023-12-29T11:01:00Z</cp:lastPrinted>
  <dcterms:created xsi:type="dcterms:W3CDTF">2023-12-28T09:24:00Z</dcterms:created>
  <dcterms:modified xsi:type="dcterms:W3CDTF">2023-12-29T11:03:00Z</dcterms:modified>
</cp:coreProperties>
</file>